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64BB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ind w:firstLine="0" w:firstLineChars="0"/>
        <w:jc w:val="center"/>
        <w:textAlignment w:val="auto"/>
        <w:rPr>
          <w:rFonts w:hint="eastAsia" w:ascii="方正大标宋_GBK" w:eastAsia="方正大标宋_GBK" w:cs="Times New Roman"/>
          <w:b/>
          <w:color w:val="2F5496"/>
          <w:sz w:val="56"/>
          <w:lang w:eastAsia="zh-CN"/>
        </w:rPr>
      </w:pPr>
      <w:bookmarkStart w:id="25" w:name="_GoBack"/>
      <w:bookmarkEnd w:id="25"/>
      <w:bookmarkStart w:id="0" w:name="heading_1"/>
      <w:r>
        <w:rPr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-1155700</wp:posOffset>
            </wp:positionH>
            <wp:positionV relativeFrom="paragraph">
              <wp:posOffset>-984250</wp:posOffset>
            </wp:positionV>
            <wp:extent cx="7677785" cy="10835005"/>
            <wp:effectExtent l="0" t="0" r="18415" b="4445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77785" cy="1083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9BE50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ind w:firstLine="0" w:firstLineChars="0"/>
        <w:jc w:val="center"/>
        <w:textAlignment w:val="auto"/>
        <w:rPr>
          <w:rFonts w:hint="eastAsia" w:ascii="方正大标宋_GBK" w:eastAsia="方正大标宋_GBK" w:cs="Times New Roman"/>
          <w:b/>
          <w:color w:val="2F5496"/>
          <w:sz w:val="56"/>
          <w:lang w:eastAsia="zh-CN"/>
        </w:rPr>
      </w:pPr>
    </w:p>
    <w:p w14:paraId="1214DFD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ind w:firstLine="0" w:firstLineChars="0"/>
        <w:jc w:val="center"/>
        <w:textAlignment w:val="auto"/>
        <w:rPr>
          <w:rFonts w:hint="eastAsia" w:ascii="方正大标宋_GBK" w:eastAsia="方正大标宋_GBK" w:cs="Times New Roman"/>
          <w:b/>
          <w:color w:val="2F5496"/>
          <w:sz w:val="56"/>
          <w:lang w:eastAsia="zh-CN"/>
        </w:rPr>
      </w:pPr>
    </w:p>
    <w:p w14:paraId="0FEFE9F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ind w:firstLine="0" w:firstLineChars="0"/>
        <w:jc w:val="center"/>
        <w:textAlignment w:val="auto"/>
        <w:rPr>
          <w:rFonts w:hint="eastAsia" w:ascii="方正大标宋_GBK" w:eastAsia="方正大标宋_GBK" w:cs="Times New Roman"/>
          <w:b/>
          <w:color w:val="2F5496"/>
          <w:sz w:val="48"/>
          <w:szCs w:val="48"/>
          <w:lang w:eastAsia="zh-CN"/>
        </w:rPr>
      </w:pPr>
      <w:r>
        <w:rPr>
          <w:rFonts w:hint="eastAsia" w:ascii="方正大标宋_GBK" w:eastAsia="方正大标宋_GBK" w:cs="Times New Roman"/>
          <w:b/>
          <w:color w:val="2F5496"/>
          <w:sz w:val="48"/>
          <w:szCs w:val="48"/>
          <w:lang w:eastAsia="zh-CN"/>
        </w:rPr>
        <w:t>广西花生台风洪涝灾后恢复生产技术</w:t>
      </w:r>
    </w:p>
    <w:p w14:paraId="4E98E7F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ind w:firstLine="0" w:firstLineChars="0"/>
        <w:jc w:val="center"/>
        <w:textAlignment w:val="auto"/>
        <w:rPr>
          <w:rFonts w:hint="eastAsia" w:ascii="方正大标宋_GBK" w:eastAsia="方正大标宋_GBK" w:cs="Times New Roman"/>
          <w:b/>
          <w:color w:val="2F5496"/>
          <w:sz w:val="48"/>
          <w:szCs w:val="48"/>
          <w:lang w:eastAsia="zh-CN"/>
        </w:rPr>
      </w:pPr>
      <w:r>
        <w:rPr>
          <w:rFonts w:hint="eastAsia" w:ascii="方正大标宋_GBK" w:eastAsia="方正大标宋_GBK" w:cs="Times New Roman"/>
          <w:b/>
          <w:color w:val="2F5496"/>
          <w:sz w:val="48"/>
          <w:szCs w:val="48"/>
          <w:lang w:eastAsia="zh-CN"/>
        </w:rPr>
        <w:t>指导手册</w:t>
      </w:r>
    </w:p>
    <w:p w14:paraId="660BE58B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240" w:afterAutospacing="0"/>
        <w:ind w:left="0" w:right="0" w:firstLine="0"/>
        <w:jc w:val="center"/>
        <w:outlineLvl w:val="0"/>
        <w:sectPr>
          <w:footerReference r:id="rId5" w:type="default"/>
          <w:pgSz w:w="11906" w:h="16838"/>
          <w:pgMar w:top="1440" w:right="1797" w:bottom="1440" w:left="1797" w:header="720" w:footer="720" w:gutter="0"/>
          <w:pgNumType w:fmt="decimal" w:start="1"/>
          <w:cols w:space="720" w:num="1"/>
          <w:docGrid w:linePitch="360" w:charSpace="0"/>
        </w:sectPr>
      </w:pPr>
      <w:bookmarkStart w:id="1" w:name="_Toc1496768101"/>
      <w:bookmarkStart w:id="2" w:name="_Toc50010885"/>
      <w:bookmarkStart w:id="3" w:name="_Toc1740884913"/>
      <w:bookmarkStart w:id="4" w:name="_Toc1267667951"/>
      <w:bookmarkStart w:id="5" w:name="_Toc949472885"/>
      <w:bookmarkStart w:id="6" w:name="_Toc1094886837"/>
      <w:bookmarkStart w:id="7" w:name="_Toc266941617"/>
      <w:bookmarkStart w:id="8" w:name="_Toc778665933"/>
      <w:bookmarkStart w:id="9" w:name="_Toc1501096764"/>
      <w:bookmarkStart w:id="10" w:name="_Toc1286557145"/>
      <w:bookmarkStart w:id="11" w:name="_Toc583882318"/>
      <w:bookmarkStart w:id="12" w:name="_Toc1831026892"/>
    </w:p>
    <w:p w14:paraId="176D7DD2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240" w:afterAutospacing="0"/>
        <w:ind w:left="0" w:right="0" w:firstLine="0"/>
        <w:jc w:val="center"/>
        <w:outlineLvl w:val="0"/>
        <w:rPr>
          <w:rFonts w:hint="eastAsia"/>
          <w:lang w:val="en-US" w:eastAsia="zh-CN"/>
        </w:rPr>
      </w:pPr>
      <w:r>
        <w:t>花生</w:t>
      </w:r>
      <w:r>
        <w:rPr>
          <w:rFonts w:hint="eastAsia" w:ascii="Calibri" w:hAnsi="Calibri" w:eastAsia="黑体" w:cs="Times New Roman"/>
          <w:b/>
          <w:bCs/>
          <w:color w:val="000000"/>
          <w:sz w:val="44"/>
          <w:szCs w:val="28"/>
          <w:lang w:val="en-US" w:eastAsia="zh-CN" w:bidi="ar-SA"/>
        </w:rPr>
        <w:t>灾后</w:t>
      </w:r>
      <w:r>
        <w:t>恢复生产技术</w:t>
      </w:r>
      <w:bookmarkEnd w:id="1"/>
      <w:bookmarkEnd w:id="2"/>
      <w:bookmarkEnd w:id="3"/>
      <w:bookmarkEnd w:id="4"/>
      <w:bookmarkEnd w:id="5"/>
    </w:p>
    <w:p w14:paraId="1529394A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Times New Roman" w:hAnsi="Times New Roman" w:eastAsia="宋体" w:cs="Times New Roman"/>
          <w:kern w:val="0"/>
          <w:sz w:val="24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zh-CN"/>
        </w:rPr>
        <w:t>2026年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eastAsia="zh-CN"/>
        </w:rPr>
        <w:t>第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zh-CN"/>
        </w:rPr>
        <w:t>10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eastAsia="zh-CN"/>
        </w:rPr>
        <w:t>号台风“美莎克”过境引发极端强降雨，危害广西各花生产区，花生耐涝性不强受灾严重，大面积出现倒伏、烂根、落果发芽，部分低洼重灾田块整田绝收。为抢抓农时推进灾后生产恢复，降低灾害损失，保障油料生产稳定，结合广西产区气候土壤特点，制定本技术指导方案。</w:t>
      </w:r>
    </w:p>
    <w:p w14:paraId="5E3F2071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outlineLvl w:val="0"/>
        <w:rPr>
          <w:rFonts w:hint="eastAsia"/>
          <w:lang w:eastAsia="zh-CN"/>
        </w:rPr>
      </w:pPr>
      <w:bookmarkStart w:id="13" w:name="_Toc1790434558"/>
      <w:bookmarkStart w:id="14" w:name="_Toc1469575866"/>
      <w:bookmarkStart w:id="15" w:name="_Toc155339589"/>
      <w:bookmarkStart w:id="16" w:name="_Toc1126899703"/>
      <w:bookmarkStart w:id="17" w:name="_Toc1666947065"/>
      <w:bookmarkStart w:id="18" w:name="_Toc1245786830"/>
      <w:r>
        <w:t>一、灾后恢复核心技术难点分析</w:t>
      </w:r>
      <w:bookmarkEnd w:id="13"/>
      <w:bookmarkEnd w:id="14"/>
      <w:bookmarkEnd w:id="15"/>
      <w:bookmarkEnd w:id="16"/>
      <w:bookmarkEnd w:id="17"/>
      <w:bookmarkEnd w:id="18"/>
    </w:p>
    <w:p w14:paraId="0E37035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76" w:lineRule="auto"/>
        <w:ind w:firstLine="480" w:firstLineChars="200"/>
        <w:jc w:val="both"/>
        <w:textAlignment w:val="auto"/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en-US"/>
        </w:rPr>
        <w:t>灾后恢复的核心技术难点主要体现于以下方面：管控窗口期较为短暂，灾后区域持续维持高温高湿环境，受涝植株在退水后数日内即可出现生理性坏死，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zh-CN"/>
        </w:rPr>
        <w:t>土壤板结导致根系腐烂速度加快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en-US"/>
        </w:rPr>
        <w:t>，病虫害扩散周期缩短，致使抢收与田间管理的有效窗口期有限，农事安排时间紧迫且要求较高；土壤生境遭受严重破坏，淹水导致土壤有益微生物消亡，各类病原菌基数显著升高，根系恢复生长面临障碍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zh-CN"/>
        </w:rPr>
        <w:t>。</w:t>
      </w:r>
    </w:p>
    <w:p w14:paraId="6181FF46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outlineLvl w:val="0"/>
      </w:pPr>
      <w:bookmarkStart w:id="19" w:name="_Toc2018739402"/>
      <w:bookmarkStart w:id="20" w:name="_Toc813066649"/>
      <w:bookmarkStart w:id="21" w:name="_Toc277432463"/>
      <w:bookmarkStart w:id="22" w:name="_Toc1773792578"/>
      <w:bookmarkStart w:id="23" w:name="_Toc2133410946"/>
      <w:bookmarkStart w:id="24" w:name="_Toc64791538"/>
      <w:r>
        <w:t>二、受灾花生田间恢复</w:t>
      </w:r>
      <w:r>
        <w:rPr>
          <w:rFonts w:hint="eastAsia"/>
          <w:lang w:val="en-US" w:eastAsia="zh-CN"/>
        </w:rPr>
        <w:t>生产</w:t>
      </w:r>
      <w:r>
        <w:t>技术措施</w:t>
      </w:r>
      <w:bookmarkEnd w:id="19"/>
      <w:bookmarkEnd w:id="20"/>
      <w:bookmarkEnd w:id="21"/>
      <w:bookmarkEnd w:id="22"/>
      <w:bookmarkEnd w:id="23"/>
      <w:bookmarkEnd w:id="24"/>
    </w:p>
    <w:p w14:paraId="07B10E3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76" w:lineRule="auto"/>
        <w:ind w:firstLine="480" w:firstLineChars="200"/>
        <w:jc w:val="both"/>
        <w:textAlignment w:val="auto"/>
        <w:rPr>
          <w:rFonts w:hint="eastAsia" w:ascii="Times New Roman" w:hAnsi="Times New Roman" w:eastAsia="宋体" w:cs="Times New Roman"/>
          <w:kern w:val="0"/>
          <w:sz w:val="24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2"/>
          <w:lang w:eastAsia="zh-CN"/>
        </w:rPr>
        <w:t>一是及时清沟排水并整理田间植株。对于受淹但未绝收的田块，依据“抢排积水、先露后晒”原则，立即疏通田块的围沟、腰沟及厢沟三级排灌系统，确保退水后24小时内田间无积水，防止根系因长时间缺氧而腐烂。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zh-CN"/>
        </w:rPr>
        <w:t>可采用喷淋方法清除茎叶表面附着的淤泥，以恢复叶片光合功能。轻度倒伏植株切勿强制扶正，以防断根或损伤荚果，仅需轻培土稳固根系，避免果针悬空、荚果腐烂；对整株死亡或病烂植株，应及时移出田块并进行深埋处理，减少田间病原体残留。对于成熟度达到80%以上的春花生，应利用晴好天气及时抢收并晾晒，分拣出符合商品标准的荚果，避免因发芽或霉变造成二次损失。</w:t>
      </w:r>
    </w:p>
    <w:p w14:paraId="1815D76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76" w:lineRule="auto"/>
        <w:ind w:firstLine="480" w:firstLineChars="200"/>
        <w:jc w:val="both"/>
        <w:textAlignment w:val="auto"/>
        <w:rPr>
          <w:rFonts w:hint="eastAsia" w:ascii="Times New Roman" w:hAnsi="Times New Roman" w:eastAsia="宋体" w:cs="Times New Roman"/>
          <w:kern w:val="0"/>
          <w:sz w:val="24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2"/>
          <w:lang w:eastAsia="zh-CN"/>
        </w:rPr>
        <w:t>二是中耕调土，护根促长。待田间土壤稍干、表面发白时，及时进行浅中耕松土以破除板结，中耕深度控制在2-3厘米，避免损伤果针与荚果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zh-CN"/>
        </w:rPr>
        <w:t>。结合中耕操作，每亩撒施50至75公斤生石灰，混入表层土壤，可有效减少病原菌数量。</w:t>
      </w:r>
    </w:p>
    <w:p w14:paraId="60DEDE6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76" w:lineRule="auto"/>
        <w:ind w:firstLine="480" w:firstLineChars="200"/>
        <w:jc w:val="both"/>
        <w:textAlignment w:val="auto"/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2"/>
          <w:lang w:eastAsia="zh-CN"/>
        </w:rPr>
        <w:t>三是科学追肥，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zh-CN"/>
        </w:rPr>
        <w:t>恢复长势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eastAsia="zh-CN"/>
        </w:rPr>
        <w:t>。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zh-CN"/>
        </w:rPr>
        <w:t>灾后土壤养分淋失严重，且根系吸收能力减弱，需遵循“以根外补肥为主、土壤追肥为辅”的原则促其恢复生长：对于结荚期花生，每亩使用1%尿素与0.3%磷酸二氢钾混合溶液进行叶面喷施，间隔7至10天喷施一次，连续喷施两次，可延长顶部功能叶寿命，促进荚果饱满。灾后高温高湿环境下，根腐病、叶部病害及蚜虫、斜纹夜蛾等易暴发，需抢晴防控，可在追肥时同步搭配防病虫药剂喷施，施药严格按照说明使用，实现促进生长与病虫害防治一次性完成。</w:t>
      </w:r>
    </w:p>
    <w:p w14:paraId="40D389A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76" w:lineRule="auto"/>
        <w:ind w:firstLine="480" w:firstLineChars="200"/>
        <w:jc w:val="both"/>
        <w:textAlignment w:val="auto"/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en-US"/>
        </w:rPr>
      </w:pPr>
    </w:p>
    <w:p w14:paraId="36031CA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76" w:lineRule="auto"/>
        <w:ind w:firstLine="480" w:firstLineChars="200"/>
        <w:jc w:val="both"/>
        <w:textAlignment w:val="auto"/>
        <w:rPr>
          <w:rFonts w:hint="eastAsia" w:ascii="Times New Roman" w:hAnsi="Times New Roman" w:eastAsia="宋体" w:cs="Times New Roman"/>
          <w:kern w:val="0"/>
          <w:sz w:val="24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2"/>
          <w:lang w:eastAsia="zh-CN"/>
        </w:rPr>
        <w:t>依托单位：广西壮族自治区农业科学院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zh-CN"/>
        </w:rPr>
        <w:t>经济作物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eastAsia="zh-CN"/>
        </w:rPr>
        <w:t>研究所</w:t>
      </w:r>
    </w:p>
    <w:p w14:paraId="12E0132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76" w:lineRule="auto"/>
        <w:ind w:firstLine="480" w:firstLineChars="200"/>
        <w:jc w:val="both"/>
        <w:textAlignment w:val="auto"/>
      </w:pPr>
      <w:r>
        <w:rPr>
          <w:rFonts w:hint="eastAsia" w:ascii="Times New Roman" w:hAnsi="Times New Roman" w:eastAsia="宋体" w:cs="Times New Roman"/>
          <w:kern w:val="0"/>
          <w:sz w:val="24"/>
          <w:szCs w:val="22"/>
          <w:lang w:eastAsia="zh-CN"/>
        </w:rPr>
        <w:t>专家及联系电话：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zh-CN"/>
        </w:rPr>
        <w:t>韩柱强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eastAsia="zh-CN"/>
        </w:rPr>
        <w:t>，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zh-CN"/>
        </w:rPr>
        <w:t>13977139289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eastAsia="zh-CN"/>
        </w:rPr>
        <w:t>；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zh-CN"/>
        </w:rPr>
        <w:t>贺梁琼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eastAsia="zh-CN"/>
        </w:rPr>
        <w:t>，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zh-CN"/>
        </w:rPr>
        <w:t>1307774</w:t>
      </w:r>
      <w:r>
        <w:rPr>
          <w:rFonts w:hint="eastAsia" w:ascii="Times New Roman" w:hAnsi="Times New Roman" w:cs="Times New Roman"/>
          <w:kern w:val="0"/>
          <w:sz w:val="24"/>
          <w:szCs w:val="22"/>
          <w:lang w:val="en-US" w:eastAsia="zh-CN"/>
        </w:rPr>
        <w:t>3399</w:t>
      </w:r>
      <w:bookmarkEnd w:id="0"/>
      <w:bookmarkEnd w:id="6"/>
      <w:bookmarkEnd w:id="7"/>
      <w:bookmarkEnd w:id="8"/>
      <w:bookmarkEnd w:id="9"/>
      <w:bookmarkEnd w:id="10"/>
      <w:bookmarkEnd w:id="11"/>
      <w:bookmarkEnd w:id="12"/>
    </w:p>
    <w:sectPr>
      <w:headerReference r:id="rId6" w:type="default"/>
      <w:footerReference r:id="rId7" w:type="default"/>
      <w:pgSz w:w="11905" w:h="1684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CF94B">
    <w:pPr>
      <w:pStyle w:val="7"/>
      <w:tabs>
        <w:tab w:val="center" w:pos="4680"/>
        <w:tab w:val="right" w:pos="9360"/>
        <w:tab w:val="clear" w:pos="4153"/>
        <w:tab w:val="clear" w:pos="8306"/>
      </w:tabs>
      <w:jc w:val="center"/>
      <w:rPr>
        <w:rFonts w:hint="eastAsia"/>
      </w:rPr>
    </w:pPr>
  </w:p>
  <w:p w14:paraId="5E48C149">
    <w:pPr>
      <w:pStyle w:val="7"/>
      <w:tabs>
        <w:tab w:val="center" w:pos="4680"/>
        <w:tab w:val="right" w:pos="9360"/>
        <w:tab w:val="clear" w:pos="4153"/>
        <w:tab w:val="clear" w:pos="8306"/>
      </w:tabs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6941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  <w:ind w:firstLine="480"/>
      </w:pPr>
      <w:r>
        <w:separator/>
      </w:r>
    </w:p>
  </w:footnote>
  <w:footnote w:type="continuationSeparator" w:id="1">
    <w:p>
      <w:pPr>
        <w:spacing w:line="276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4ACD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74F5B"/>
    <w:rsid w:val="3FF7500C"/>
    <w:rsid w:val="3FFF54B8"/>
    <w:rsid w:val="49D458DD"/>
    <w:rsid w:val="4DE7D246"/>
    <w:rsid w:val="4FD8690D"/>
    <w:rsid w:val="4FFF981B"/>
    <w:rsid w:val="5D5D227E"/>
    <w:rsid w:val="5D7B652C"/>
    <w:rsid w:val="5F2B93DE"/>
    <w:rsid w:val="5F763134"/>
    <w:rsid w:val="5FEDADF7"/>
    <w:rsid w:val="5FFF25DA"/>
    <w:rsid w:val="63EBC35F"/>
    <w:rsid w:val="6AF6EB8C"/>
    <w:rsid w:val="6D9F6F34"/>
    <w:rsid w:val="6DFDB6FB"/>
    <w:rsid w:val="6E2AB94B"/>
    <w:rsid w:val="6FDF1C7E"/>
    <w:rsid w:val="774F7518"/>
    <w:rsid w:val="77BB7C24"/>
    <w:rsid w:val="77EA32E1"/>
    <w:rsid w:val="77FF4440"/>
    <w:rsid w:val="7B6C4561"/>
    <w:rsid w:val="7BEB86D6"/>
    <w:rsid w:val="7D3F4324"/>
    <w:rsid w:val="7EFB48EF"/>
    <w:rsid w:val="7FDF41E7"/>
    <w:rsid w:val="7FF9685D"/>
    <w:rsid w:val="7FFFBEF5"/>
    <w:rsid w:val="87F379B4"/>
    <w:rsid w:val="8FCF6895"/>
    <w:rsid w:val="93AF3737"/>
    <w:rsid w:val="9F7F4B14"/>
    <w:rsid w:val="9F9F91D6"/>
    <w:rsid w:val="AF3B42C4"/>
    <w:rsid w:val="AFBF61D1"/>
    <w:rsid w:val="B53B2959"/>
    <w:rsid w:val="B6E5DE0B"/>
    <w:rsid w:val="B9CCBB49"/>
    <w:rsid w:val="BEBE0D56"/>
    <w:rsid w:val="CD561503"/>
    <w:rsid w:val="D5FF6BF9"/>
    <w:rsid w:val="D67F0FF0"/>
    <w:rsid w:val="D67FC0BD"/>
    <w:rsid w:val="DE279FE0"/>
    <w:rsid w:val="E7FE83F3"/>
    <w:rsid w:val="EF3E0EE0"/>
    <w:rsid w:val="EFDFA7EE"/>
    <w:rsid w:val="F5BF5BD2"/>
    <w:rsid w:val="F6EFCF53"/>
    <w:rsid w:val="F9ECE943"/>
    <w:rsid w:val="FC7DA663"/>
    <w:rsid w:val="FCEFDBCA"/>
    <w:rsid w:val="FD5F6AEB"/>
    <w:rsid w:val="FDCDE884"/>
    <w:rsid w:val="FDD0B0BC"/>
    <w:rsid w:val="FE935D6A"/>
    <w:rsid w:val="FF571E33"/>
    <w:rsid w:val="FFB21652"/>
    <w:rsid w:val="FFBD913C"/>
    <w:rsid w:val="FFF749E5"/>
    <w:rsid w:val="FFF93274"/>
    <w:rsid w:val="FFFEB261"/>
    <w:rsid w:val="FFFF53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76" w:lineRule="auto"/>
      <w:ind w:firstLine="480" w:firstLineChars="200"/>
      <w:jc w:val="both"/>
    </w:pPr>
    <w:rPr>
      <w:rFonts w:ascii="Calibri" w:hAnsi="Calibri" w:eastAsia="宋体" w:cs="Times New Roman"/>
      <w:sz w:val="24"/>
      <w:szCs w:val="22"/>
    </w:rPr>
  </w:style>
  <w:style w:type="paragraph" w:styleId="2">
    <w:name w:val="heading 1"/>
    <w:basedOn w:val="1"/>
    <w:next w:val="3"/>
    <w:qFormat/>
    <w:uiPriority w:val="0"/>
    <w:pPr>
      <w:spacing w:before="100" w:beforeAutospacing="1" w:after="100" w:afterAutospacing="1"/>
      <w:jc w:val="center"/>
      <w:outlineLvl w:val="0"/>
    </w:pPr>
    <w:rPr>
      <w:rFonts w:hint="eastAsia" w:ascii="宋体" w:hAnsi="宋体" w:eastAsia="黑体" w:cs="宋体"/>
      <w:b/>
      <w:bCs/>
      <w:kern w:val="44"/>
      <w:sz w:val="44"/>
      <w:szCs w:val="48"/>
      <w:lang w:val="en-US" w:eastAsia="zh-CN" w:bidi="ar"/>
    </w:rPr>
  </w:style>
  <w:style w:type="paragraph" w:styleId="4">
    <w:name w:val="heading 2"/>
    <w:basedOn w:val="1"/>
    <w:next w:val="3"/>
    <w:link w:val="14"/>
    <w:unhideWhenUsed/>
    <w:qFormat/>
    <w:uiPriority w:val="0"/>
    <w:pPr>
      <w:keepNext/>
      <w:keepLines/>
      <w:spacing w:before="260" w:beforeLines="0" w:beforeAutospacing="0" w:after="260" w:afterLines="0" w:afterAutospacing="0" w:line="276" w:lineRule="auto"/>
      <w:outlineLvl w:val="1"/>
    </w:pPr>
    <w:rPr>
      <w:rFonts w:ascii="Arial" w:hAnsi="Arial" w:eastAsia="黑体"/>
      <w:b/>
    </w:rPr>
  </w:style>
  <w:style w:type="paragraph" w:styleId="5">
    <w:name w:val="heading 3"/>
    <w:basedOn w:val="1"/>
    <w:next w:val="1"/>
    <w:link w:val="15"/>
    <w:unhideWhenUsed/>
    <w:qFormat/>
    <w:uiPriority w:val="0"/>
    <w:pPr>
      <w:spacing w:before="100" w:beforeAutospacing="1" w:after="100" w:afterAutospacing="1" w:line="276" w:lineRule="auto"/>
      <w:jc w:val="left"/>
      <w:outlineLvl w:val="2"/>
    </w:pPr>
    <w:rPr>
      <w:rFonts w:hint="eastAsia" w:ascii="宋体" w:hAnsi="宋体" w:eastAsia="黑体" w:cs="宋体"/>
      <w:b/>
      <w:bCs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  <w:textAlignment w:val="center"/>
    </w:pPr>
  </w:style>
  <w:style w:type="paragraph" w:styleId="6">
    <w:name w:val="toc 3"/>
    <w:basedOn w:val="1"/>
    <w:next w:val="1"/>
    <w:uiPriority w:val="0"/>
    <w:pPr>
      <w:ind w:left="840" w:leftChars="400"/>
    </w:p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uiPriority w:val="0"/>
  </w:style>
  <w:style w:type="paragraph" w:styleId="10">
    <w:name w:val="toc 2"/>
    <w:basedOn w:val="1"/>
    <w:next w:val="1"/>
    <w:uiPriority w:val="0"/>
    <w:pPr>
      <w:ind w:left="420" w:leftChars="200"/>
    </w:pPr>
  </w:style>
  <w:style w:type="paragraph" w:styleId="11">
    <w:name w:val="Normal (Web)"/>
    <w:basedOn w:val="1"/>
    <w:qFormat/>
    <w:uiPriority w:val="0"/>
    <w:rPr>
      <w:sz w:val="24"/>
    </w:rPr>
  </w:style>
  <w:style w:type="character" w:customStyle="1" w:styleId="14">
    <w:name w:val="标题 2 Char"/>
    <w:link w:val="4"/>
    <w:uiPriority w:val="0"/>
    <w:rPr>
      <w:rFonts w:ascii="Arial" w:hAnsi="Arial" w:eastAsia="黑体"/>
      <w:b/>
    </w:rPr>
  </w:style>
  <w:style w:type="character" w:customStyle="1" w:styleId="15">
    <w:name w:val="标题 3 Char"/>
    <w:link w:val="5"/>
    <w:uiPriority w:val="0"/>
    <w:rPr>
      <w:rFonts w:hint="eastAsia" w:ascii="宋体" w:hAnsi="宋体" w:eastAsia="黑体" w:cs="宋体"/>
      <w:b/>
      <w:bCs/>
      <w:szCs w:val="27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978</Words>
  <Characters>1014</Characters>
  <Lines>0</Lines>
  <Paragraphs>0</Paragraphs>
  <TotalTime>1.33333333333333</TotalTime>
  <ScaleCrop>false</ScaleCrop>
  <LinksUpToDate>false</LinksUpToDate>
  <CharactersWithSpaces>1014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2026-07-17T16:40:54Z</dcterms:created>
  <dc:creator>gxxc</dc:creator>
  <cp:lastModifiedBy>燕子</cp:lastModifiedBy>
  <dcterms:modified xsi:type="dcterms:W3CDTF">2026-07-16T00:29:47Z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26DFA6E418AE48619487942F5787565F_13</vt:lpwstr>
  </property>
</Properties>
</file>