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F5B1A" w14:textId="6CF58F25" w:rsidR="00622BE2" w:rsidRDefault="00622BE2" w:rsidP="00622BE2">
      <w:pPr>
        <w:tabs>
          <w:tab w:val="left" w:pos="2105"/>
        </w:tabs>
        <w:jc w:val="center"/>
        <w:rPr>
          <w:rFonts w:ascii="方正小标宋简体" w:eastAsia="方正小标宋简体" w:hint="eastAsia"/>
          <w:sz w:val="72"/>
          <w:szCs w:val="72"/>
        </w:rPr>
      </w:pPr>
      <w:r w:rsidRPr="00622BE2">
        <w:rPr>
          <w:rFonts w:ascii="方正小标宋简体" w:eastAsia="方正小标宋简体" w:hint="eastAsia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67FC390" wp14:editId="465E064E">
            <wp:simplePos x="0" y="0"/>
            <wp:positionH relativeFrom="column">
              <wp:posOffset>-1143001</wp:posOffset>
            </wp:positionH>
            <wp:positionV relativeFrom="paragraph">
              <wp:posOffset>-907473</wp:posOffset>
            </wp:positionV>
            <wp:extent cx="7557655" cy="10680065"/>
            <wp:effectExtent l="0" t="0" r="0" b="0"/>
            <wp:wrapNone/>
            <wp:docPr id="510237800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237800" name="图片 510237800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88065" w14:textId="77777777" w:rsidR="00622BE2" w:rsidRDefault="00622BE2" w:rsidP="008001E6">
      <w:pPr>
        <w:tabs>
          <w:tab w:val="left" w:pos="2105"/>
        </w:tabs>
        <w:rPr>
          <w:rFonts w:ascii="方正小标宋简体" w:eastAsia="方正小标宋简体" w:hint="eastAsia"/>
          <w:sz w:val="72"/>
          <w:szCs w:val="72"/>
        </w:rPr>
      </w:pPr>
    </w:p>
    <w:p w14:paraId="60A902E0" w14:textId="7F4DF679" w:rsidR="00F17F80" w:rsidRDefault="00622BE2" w:rsidP="00622BE2">
      <w:pPr>
        <w:tabs>
          <w:tab w:val="left" w:pos="2105"/>
        </w:tabs>
        <w:jc w:val="center"/>
        <w:rPr>
          <w:rFonts w:ascii="方正小标宋简体" w:eastAsia="方正小标宋简体"/>
          <w:color w:val="0070C0"/>
          <w:sz w:val="72"/>
          <w:szCs w:val="72"/>
        </w:rPr>
      </w:pPr>
      <w:r w:rsidRPr="005A5C6E">
        <w:rPr>
          <w:rFonts w:ascii="方正小标宋简体" w:eastAsia="方正小标宋简体" w:hint="eastAsia"/>
          <w:color w:val="0070C0"/>
          <w:sz w:val="72"/>
          <w:szCs w:val="72"/>
        </w:rPr>
        <w:t>广西食用菌台风洪涝灾后恢复生产技术手册</w:t>
      </w:r>
    </w:p>
    <w:p w14:paraId="16386968" w14:textId="77777777" w:rsidR="005C1E1C" w:rsidRDefault="005C1E1C" w:rsidP="00622BE2">
      <w:pPr>
        <w:tabs>
          <w:tab w:val="left" w:pos="2105"/>
        </w:tabs>
        <w:jc w:val="center"/>
        <w:rPr>
          <w:rFonts w:ascii="方正小标宋简体" w:eastAsia="方正小标宋简体"/>
          <w:color w:val="0070C0"/>
          <w:sz w:val="72"/>
          <w:szCs w:val="72"/>
        </w:rPr>
      </w:pPr>
    </w:p>
    <w:p w14:paraId="19CB6011" w14:textId="77777777" w:rsidR="005C1E1C" w:rsidRDefault="005C1E1C" w:rsidP="00622BE2">
      <w:pPr>
        <w:tabs>
          <w:tab w:val="left" w:pos="2105"/>
        </w:tabs>
        <w:jc w:val="center"/>
        <w:rPr>
          <w:rFonts w:ascii="方正小标宋简体" w:eastAsia="方正小标宋简体"/>
          <w:color w:val="0070C0"/>
          <w:sz w:val="72"/>
          <w:szCs w:val="72"/>
        </w:rPr>
      </w:pPr>
    </w:p>
    <w:p w14:paraId="3E1E8739" w14:textId="77777777" w:rsidR="005C1E1C" w:rsidRDefault="005C1E1C" w:rsidP="00622BE2">
      <w:pPr>
        <w:tabs>
          <w:tab w:val="left" w:pos="2105"/>
        </w:tabs>
        <w:jc w:val="center"/>
        <w:rPr>
          <w:rFonts w:ascii="方正小标宋简体" w:eastAsia="方正小标宋简体"/>
          <w:color w:val="0070C0"/>
          <w:sz w:val="72"/>
          <w:szCs w:val="72"/>
        </w:rPr>
      </w:pPr>
    </w:p>
    <w:p w14:paraId="25A49394" w14:textId="77777777" w:rsidR="005C1E1C" w:rsidRDefault="005C1E1C" w:rsidP="00622BE2">
      <w:pPr>
        <w:tabs>
          <w:tab w:val="left" w:pos="2105"/>
        </w:tabs>
        <w:jc w:val="center"/>
        <w:rPr>
          <w:rFonts w:ascii="方正小标宋简体" w:eastAsia="方正小标宋简体"/>
          <w:color w:val="0070C0"/>
          <w:sz w:val="72"/>
          <w:szCs w:val="72"/>
        </w:rPr>
      </w:pPr>
    </w:p>
    <w:p w14:paraId="76EED6ED" w14:textId="77777777" w:rsidR="005C1E1C" w:rsidRDefault="005C1E1C" w:rsidP="00622BE2">
      <w:pPr>
        <w:tabs>
          <w:tab w:val="left" w:pos="2105"/>
        </w:tabs>
        <w:jc w:val="center"/>
        <w:rPr>
          <w:rFonts w:ascii="黑体" w:eastAsia="黑体" w:hAnsi="黑体"/>
          <w:color w:val="0070C0"/>
          <w:sz w:val="32"/>
          <w:szCs w:val="32"/>
        </w:rPr>
      </w:pPr>
    </w:p>
    <w:p w14:paraId="0F97CCEE" w14:textId="77777777" w:rsidR="005C1E1C" w:rsidRDefault="005C1E1C" w:rsidP="00622BE2">
      <w:pPr>
        <w:tabs>
          <w:tab w:val="left" w:pos="2105"/>
        </w:tabs>
        <w:jc w:val="center"/>
        <w:rPr>
          <w:rFonts w:ascii="黑体" w:eastAsia="黑体" w:hAnsi="黑体"/>
          <w:color w:val="0070C0"/>
          <w:sz w:val="32"/>
          <w:szCs w:val="32"/>
        </w:rPr>
      </w:pPr>
    </w:p>
    <w:p w14:paraId="2C9566C9" w14:textId="77777777" w:rsidR="005C1E1C" w:rsidRDefault="005C1E1C" w:rsidP="00622BE2">
      <w:pPr>
        <w:tabs>
          <w:tab w:val="left" w:pos="2105"/>
        </w:tabs>
        <w:jc w:val="center"/>
        <w:rPr>
          <w:rFonts w:ascii="黑体" w:eastAsia="黑体" w:hAnsi="黑体"/>
          <w:color w:val="0070C0"/>
          <w:sz w:val="32"/>
          <w:szCs w:val="32"/>
        </w:rPr>
      </w:pPr>
    </w:p>
    <w:p w14:paraId="639239E7" w14:textId="4D9D74C4" w:rsidR="005C1E1C" w:rsidRDefault="005C1E1C" w:rsidP="00C82DE7">
      <w:pPr>
        <w:tabs>
          <w:tab w:val="left" w:pos="2105"/>
        </w:tabs>
        <w:jc w:val="center"/>
        <w:rPr>
          <w:rFonts w:ascii="黑体" w:eastAsia="黑体" w:hAnsi="黑体"/>
          <w:color w:val="0070C0"/>
          <w:sz w:val="32"/>
          <w:szCs w:val="32"/>
        </w:rPr>
      </w:pPr>
      <w:r w:rsidRPr="005C1E1C">
        <w:rPr>
          <w:rFonts w:ascii="黑体" w:eastAsia="黑体" w:hAnsi="黑体" w:hint="eastAsia"/>
          <w:color w:val="0070C0"/>
          <w:sz w:val="32"/>
          <w:szCs w:val="32"/>
        </w:rPr>
        <w:t>广西壮族自治区农业科学院</w:t>
      </w:r>
    </w:p>
    <w:p w14:paraId="65F9D0D0" w14:textId="07D6229D" w:rsidR="005C1E1C" w:rsidRDefault="005C1E1C" w:rsidP="00622BE2">
      <w:pPr>
        <w:tabs>
          <w:tab w:val="left" w:pos="2105"/>
        </w:tabs>
        <w:jc w:val="center"/>
        <w:rPr>
          <w:rFonts w:ascii="黑体" w:eastAsia="黑体" w:hAnsi="黑体"/>
          <w:color w:val="0070C0"/>
          <w:sz w:val="32"/>
          <w:szCs w:val="32"/>
        </w:rPr>
      </w:pPr>
      <w:r>
        <w:rPr>
          <w:rFonts w:ascii="黑体" w:eastAsia="黑体" w:hAnsi="黑体" w:hint="eastAsia"/>
          <w:color w:val="0070C0"/>
          <w:sz w:val="32"/>
          <w:szCs w:val="32"/>
        </w:rPr>
        <w:t>2026</w:t>
      </w:r>
      <w:r>
        <w:rPr>
          <w:rFonts w:ascii="黑体" w:eastAsia="黑体" w:hAnsi="黑体"/>
          <w:color w:val="0070C0"/>
          <w:sz w:val="32"/>
          <w:szCs w:val="32"/>
        </w:rPr>
        <w:t>年</w:t>
      </w:r>
      <w:r>
        <w:rPr>
          <w:rFonts w:ascii="黑体" w:eastAsia="黑体" w:hAnsi="黑体" w:hint="eastAsia"/>
          <w:color w:val="0070C0"/>
          <w:sz w:val="32"/>
          <w:szCs w:val="32"/>
        </w:rPr>
        <w:t>7</w:t>
      </w:r>
      <w:r>
        <w:rPr>
          <w:rFonts w:ascii="黑体" w:eastAsia="黑体" w:hAnsi="黑体"/>
          <w:color w:val="0070C0"/>
          <w:sz w:val="32"/>
          <w:szCs w:val="32"/>
        </w:rPr>
        <w:t>月</w:t>
      </w:r>
    </w:p>
    <w:p w14:paraId="01D4EA1D" w14:textId="77777777" w:rsidR="00703C00" w:rsidRDefault="00703C00" w:rsidP="00622BE2">
      <w:pPr>
        <w:tabs>
          <w:tab w:val="left" w:pos="2105"/>
        </w:tabs>
        <w:jc w:val="center"/>
        <w:rPr>
          <w:rFonts w:ascii="黑体" w:eastAsia="黑体" w:hAnsi="黑体"/>
          <w:color w:val="0070C0"/>
          <w:sz w:val="32"/>
          <w:szCs w:val="32"/>
        </w:rPr>
      </w:pPr>
    </w:p>
    <w:p w14:paraId="2DF76625" w14:textId="67046D36" w:rsidR="00703C00" w:rsidRDefault="00703C00" w:rsidP="00703C00">
      <w:pPr>
        <w:tabs>
          <w:tab w:val="left" w:pos="2105"/>
        </w:tabs>
        <w:spacing w:afterLines="50" w:after="156"/>
        <w:jc w:val="center"/>
        <w:rPr>
          <w:rFonts w:ascii="黑体" w:eastAsia="黑体" w:hAnsi="黑体"/>
          <w:color w:val="000000" w:themeColor="text1"/>
          <w:sz w:val="44"/>
          <w:szCs w:val="44"/>
        </w:rPr>
      </w:pPr>
      <w:r w:rsidRPr="00703C00">
        <w:rPr>
          <w:rFonts w:ascii="黑体" w:eastAsia="黑体" w:hAnsi="黑体"/>
          <w:color w:val="000000" w:themeColor="text1"/>
          <w:sz w:val="44"/>
          <w:szCs w:val="44"/>
        </w:rPr>
        <w:lastRenderedPageBreak/>
        <w:t>台风洪涝灾害</w:t>
      </w:r>
      <w:r>
        <w:rPr>
          <w:rFonts w:ascii="黑体" w:eastAsia="黑体" w:hAnsi="黑体"/>
          <w:color w:val="000000" w:themeColor="text1"/>
          <w:sz w:val="44"/>
          <w:szCs w:val="44"/>
        </w:rPr>
        <w:t>后</w:t>
      </w:r>
      <w:r w:rsidRPr="00703C00">
        <w:rPr>
          <w:rFonts w:ascii="黑体" w:eastAsia="黑体" w:hAnsi="黑体"/>
          <w:color w:val="000000" w:themeColor="text1"/>
          <w:sz w:val="44"/>
          <w:szCs w:val="44"/>
        </w:rPr>
        <w:t>食用菌生产技术指导</w:t>
      </w:r>
    </w:p>
    <w:p w14:paraId="3711EDE1" w14:textId="24E8AF17" w:rsidR="00703C00" w:rsidRDefault="00703C00" w:rsidP="00703C00">
      <w:pPr>
        <w:tabs>
          <w:tab w:val="left" w:pos="2105"/>
        </w:tabs>
        <w:jc w:val="center"/>
        <w:rPr>
          <w:rFonts w:ascii="仿宋_GB2312" w:eastAsia="仿宋_GB2312" w:hAnsi="黑体"/>
          <w:color w:val="000000" w:themeColor="text1"/>
          <w:sz w:val="28"/>
          <w:szCs w:val="28"/>
        </w:rPr>
      </w:pPr>
      <w:r>
        <w:rPr>
          <w:rFonts w:ascii="仿宋_GB2312" w:eastAsia="仿宋_GB2312" w:hAnsi="黑体" w:hint="eastAsia"/>
          <w:color w:val="000000" w:themeColor="text1"/>
          <w:sz w:val="28"/>
          <w:szCs w:val="28"/>
        </w:rPr>
        <w:t>（广西农</w:t>
      </w:r>
      <w:r w:rsidRPr="00703C00">
        <w:rPr>
          <w:rFonts w:ascii="仿宋_GB2312" w:eastAsia="仿宋_GB2312" w:hAnsi="黑体" w:hint="eastAsia"/>
          <w:color w:val="000000" w:themeColor="text1"/>
          <w:sz w:val="28"/>
          <w:szCs w:val="28"/>
        </w:rPr>
        <w:t>业科学院食用菌研究所/国家食用菌产业技术体系南宁综合试验站</w:t>
      </w:r>
      <w:r>
        <w:rPr>
          <w:rFonts w:ascii="仿宋_GB2312" w:eastAsia="仿宋_GB2312" w:hAnsi="黑体" w:hint="eastAsia"/>
          <w:color w:val="000000" w:themeColor="text1"/>
          <w:sz w:val="28"/>
          <w:szCs w:val="28"/>
        </w:rPr>
        <w:t>）</w:t>
      </w:r>
    </w:p>
    <w:p w14:paraId="238F7DCC" w14:textId="77777777" w:rsidR="00703C00" w:rsidRDefault="00703C00" w:rsidP="00703C00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黑体"/>
          <w:color w:val="000000" w:themeColor="text1"/>
          <w:sz w:val="28"/>
          <w:szCs w:val="28"/>
        </w:rPr>
      </w:pPr>
    </w:p>
    <w:p w14:paraId="2985F1CB" w14:textId="1CA40855" w:rsidR="00703C00" w:rsidRPr="006B540D" w:rsidRDefault="00703C00" w:rsidP="00703C00">
      <w:pPr>
        <w:adjustRightInd w:val="0"/>
        <w:snapToGrid w:val="0"/>
        <w:spacing w:line="360" w:lineRule="auto"/>
        <w:rPr>
          <w:rFonts w:ascii="黑体" w:eastAsia="黑体" w:hAnsi="黑体" w:cs="Times New Roman" w:hint="eastAsia"/>
          <w:b/>
          <w:bCs/>
          <w:sz w:val="28"/>
          <w:szCs w:val="28"/>
        </w:rPr>
      </w:pPr>
      <w:r w:rsidRPr="006B540D">
        <w:rPr>
          <w:rFonts w:ascii="黑体" w:eastAsia="黑体" w:hAnsi="黑体" w:cs="Times New Roman" w:hint="eastAsia"/>
          <w:b/>
          <w:bCs/>
          <w:sz w:val="28"/>
          <w:szCs w:val="28"/>
        </w:rPr>
        <w:t>一、</w:t>
      </w:r>
      <w:bookmarkStart w:id="0" w:name="OLE_LINK1"/>
      <w:r w:rsidRPr="006B540D">
        <w:rPr>
          <w:rFonts w:ascii="黑体" w:eastAsia="黑体" w:hAnsi="黑体" w:cs="Times New Roman" w:hint="eastAsia"/>
          <w:b/>
          <w:bCs/>
          <w:sz w:val="28"/>
          <w:szCs w:val="28"/>
        </w:rPr>
        <w:t>科学防灾</w:t>
      </w:r>
      <w:bookmarkEnd w:id="0"/>
      <w:r w:rsidRPr="006B540D">
        <w:rPr>
          <w:rFonts w:ascii="黑体" w:eastAsia="黑体" w:hAnsi="黑体" w:cs="Times New Roman" w:hint="eastAsia"/>
          <w:b/>
          <w:bCs/>
          <w:sz w:val="28"/>
          <w:szCs w:val="28"/>
        </w:rPr>
        <w:t>措施</w:t>
      </w:r>
    </w:p>
    <w:p w14:paraId="1299B8BD" w14:textId="77777777" w:rsid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一是</w:t>
      </w:r>
      <w:r w:rsidRPr="00F57183">
        <w:rPr>
          <w:rFonts w:ascii="Times New Roman" w:eastAsia="仿宋_GB2312" w:hAnsi="Times New Roman" w:cs="Times New Roman"/>
          <w:b/>
          <w:bCs/>
          <w:sz w:val="28"/>
          <w:szCs w:val="28"/>
        </w:rPr>
        <w:t>加固棚体设施，疏通排水系统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。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及时关注气象信息，发现</w:t>
      </w:r>
      <w:r w:rsidRPr="00FF4F54">
        <w:rPr>
          <w:rFonts w:ascii="Times New Roman" w:eastAsia="仿宋_GB2312" w:hAnsi="Times New Roman" w:cs="Times New Roman"/>
          <w:sz w:val="28"/>
          <w:szCs w:val="28"/>
        </w:rPr>
        <w:t>台风预报预警后，第一时间加固菇棚钢架结构，收紧固定棚膜与遮阳网，防止大风掀翻棚体；全面清理菇棚内外排水沟渠，清除落叶淤泥，开挖棚内横向浅沟，避免暴雨过后雨水倒灌。低洼河谷片区的栽培基地，提前做好菌棒外迁准备，尽量规避山洪冲刷风险。</w:t>
      </w:r>
    </w:p>
    <w:p w14:paraId="2E50E2C8" w14:textId="77777777" w:rsid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二是</w:t>
      </w:r>
      <w:r w:rsidRPr="00F57183">
        <w:rPr>
          <w:rFonts w:ascii="Times New Roman" w:eastAsia="仿宋_GB2312" w:hAnsi="Times New Roman" w:cs="Times New Roman"/>
          <w:b/>
          <w:bCs/>
          <w:sz w:val="28"/>
          <w:szCs w:val="28"/>
        </w:rPr>
        <w:t>抢收成品，做好物资转移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。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坚持及时采收的原则，必要时可以提前采收。有条件的，</w:t>
      </w:r>
      <w:r w:rsidRPr="00FF4F54">
        <w:rPr>
          <w:rFonts w:ascii="Times New Roman" w:eastAsia="仿宋_GB2312" w:hAnsi="Times New Roman" w:cs="Times New Roman"/>
          <w:sz w:val="28"/>
          <w:szCs w:val="28"/>
        </w:rPr>
        <w:t>及时烘干储存，减少成品损失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。</w:t>
      </w:r>
      <w:r w:rsidRPr="00FF4F54">
        <w:rPr>
          <w:rFonts w:ascii="Times New Roman" w:eastAsia="仿宋_GB2312" w:hAnsi="Times New Roman" w:cs="Times New Roman"/>
          <w:sz w:val="28"/>
          <w:szCs w:val="28"/>
        </w:rPr>
        <w:t>露天堆放的木屑、棉籽壳、麸皮等原辅材料全覆盖防雨薄膜，菌种及初期养菌菌棒优先转运至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安全地点</w:t>
      </w:r>
      <w:r w:rsidRPr="00FF4F54">
        <w:rPr>
          <w:rFonts w:ascii="Times New Roman" w:eastAsia="仿宋_GB2312" w:hAnsi="Times New Roman" w:cs="Times New Roman"/>
          <w:sz w:val="28"/>
          <w:szCs w:val="28"/>
        </w:rPr>
        <w:t>存放。</w:t>
      </w:r>
    </w:p>
    <w:p w14:paraId="7018EE5E" w14:textId="77777777" w:rsid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</w:rPr>
      </w:pPr>
      <w:bookmarkStart w:id="1" w:name="OLE_LINK3"/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三是</w:t>
      </w:r>
      <w:r w:rsidRPr="00F57183">
        <w:rPr>
          <w:rFonts w:ascii="Times New Roman" w:eastAsia="仿宋_GB2312" w:hAnsi="Times New Roman" w:cs="Times New Roman"/>
          <w:b/>
          <w:bCs/>
          <w:sz w:val="28"/>
          <w:szCs w:val="28"/>
        </w:rPr>
        <w:t>储备应急物资，优化栽培布局</w:t>
      </w:r>
      <w:r>
        <w:rPr>
          <w:rFonts w:ascii="Times New Roman" w:eastAsia="仿宋_GB2312" w:hAnsi="Times New Roman" w:cs="Times New Roman" w:hint="eastAsia"/>
          <w:b/>
          <w:bCs/>
          <w:sz w:val="28"/>
          <w:szCs w:val="28"/>
        </w:rPr>
        <w:t>。</w:t>
      </w:r>
      <w:bookmarkEnd w:id="1"/>
      <w:r w:rsidRPr="00FF4F54">
        <w:rPr>
          <w:rFonts w:ascii="Times New Roman" w:eastAsia="仿宋_GB2312" w:hAnsi="Times New Roman" w:cs="Times New Roman"/>
          <w:sz w:val="28"/>
          <w:szCs w:val="28"/>
        </w:rPr>
        <w:t>提前配齐抽水设备、应急电源、生石灰等物资。</w:t>
      </w:r>
      <w:r w:rsidRPr="00101E8F">
        <w:rPr>
          <w:rFonts w:ascii="Times New Roman" w:eastAsia="仿宋_GB2312" w:hAnsi="Times New Roman" w:cs="Times New Roman"/>
          <w:sz w:val="28"/>
          <w:szCs w:val="28"/>
        </w:rPr>
        <w:t>结合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厂区</w:t>
      </w:r>
      <w:r w:rsidRPr="00101E8F">
        <w:rPr>
          <w:rFonts w:ascii="Times New Roman" w:eastAsia="仿宋_GB2312" w:hAnsi="Times New Roman" w:cs="Times New Roman"/>
          <w:sz w:val="28"/>
          <w:szCs w:val="28"/>
        </w:rPr>
        <w:t>功能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划分</w:t>
      </w:r>
      <w:r w:rsidRPr="00101E8F">
        <w:rPr>
          <w:rFonts w:ascii="Times New Roman" w:eastAsia="仿宋_GB2312" w:hAnsi="Times New Roman" w:cs="Times New Roman"/>
          <w:sz w:val="28"/>
          <w:szCs w:val="28"/>
        </w:rPr>
        <w:t>，高地排水通畅区域用于存放菌棒与成品；冷却室、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接种室、</w:t>
      </w:r>
      <w:r w:rsidRPr="00101E8F">
        <w:rPr>
          <w:rFonts w:ascii="Times New Roman" w:eastAsia="仿宋_GB2312" w:hAnsi="Times New Roman" w:cs="Times New Roman"/>
          <w:sz w:val="28"/>
          <w:szCs w:val="28"/>
        </w:rPr>
        <w:t>培养室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等</w:t>
      </w:r>
      <w:r w:rsidRPr="00101E8F">
        <w:rPr>
          <w:rFonts w:ascii="Times New Roman" w:eastAsia="仿宋_GB2312" w:hAnsi="Times New Roman" w:cs="Times New Roman"/>
          <w:sz w:val="28"/>
          <w:szCs w:val="28"/>
        </w:rPr>
        <w:t>高洁净车间加装止水坎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，</w:t>
      </w:r>
      <w:r w:rsidRPr="00E36E9E">
        <w:rPr>
          <w:rFonts w:ascii="Times New Roman" w:eastAsia="仿宋_GB2312" w:hAnsi="Times New Roman" w:cs="Times New Roman"/>
          <w:sz w:val="28"/>
          <w:szCs w:val="28"/>
        </w:rPr>
        <w:t>防止雨天污水回流污染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洁净区</w:t>
      </w:r>
      <w:r w:rsidRPr="00101E8F">
        <w:rPr>
          <w:rFonts w:ascii="Times New Roman" w:eastAsia="仿宋_GB2312" w:hAnsi="Times New Roman" w:cs="Times New Roman"/>
          <w:sz w:val="28"/>
          <w:szCs w:val="28"/>
        </w:rPr>
        <w:t>。</w:t>
      </w:r>
    </w:p>
    <w:p w14:paraId="1BD29141" w14:textId="1081315A" w:rsidR="00703C00" w:rsidRPr="00703C00" w:rsidRDefault="00703C00" w:rsidP="00703C00">
      <w:pPr>
        <w:adjustRightInd w:val="0"/>
        <w:snapToGrid w:val="0"/>
        <w:spacing w:line="360" w:lineRule="auto"/>
        <w:rPr>
          <w:rFonts w:ascii="黑体" w:eastAsia="黑体" w:hAnsi="黑体" w:cs="Times New Roman"/>
          <w:b/>
          <w:bCs/>
          <w:sz w:val="28"/>
          <w:szCs w:val="28"/>
          <w14:ligatures w14:val="none"/>
        </w:rPr>
      </w:pPr>
      <w:r w:rsidRPr="00703C00">
        <w:rPr>
          <w:rFonts w:ascii="黑体" w:eastAsia="黑体" w:hAnsi="黑体" w:cs="Times New Roman"/>
          <w:b/>
          <w:bCs/>
          <w:sz w:val="28"/>
          <w:szCs w:val="28"/>
          <w14:ligatures w14:val="none"/>
        </w:rPr>
        <w:t>二、科学减灾措施</w:t>
      </w:r>
    </w:p>
    <w:p w14:paraId="781B2F05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一是积水内涝菌棒抢救。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台风洪涝初期，预判棚区积水无法快速外排时，优先转移处于出菇关键期的菌棒，统一抬高堆放高度，杜绝菌棒长时间浸水霉变、减产报废。</w:t>
      </w:r>
    </w:p>
    <w:p w14:paraId="45E7CCCD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二是菇棚防风减损管控。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大风时段全面关闭菇棚所有通风口并锁紧密封，阻挡狂风裹挟泥沙入棚，避免菌棒表面划伤受损。必要时，借鉴阻尼缓冲原理开展棚体减震加固，就地取土装入编织袋制成配重，沿棚体间隔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 xml:space="preserve"> 10—20 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米悬挂，削弱强风引发棚架剧烈晃动，降低棚体撕裂、坍塌风险。</w:t>
      </w:r>
    </w:p>
    <w:p w14:paraId="68A8A338" w14:textId="77777777" w:rsid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三是人员避险与用电安全。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迅速组织工作人员全员撤离，严防大风造成棚体垮塌、强降雨诱发山体滑坡等次生伤人事故。切断厂区供电线路，彻底消除积水漏电、线路短路安全隐患。</w:t>
      </w:r>
    </w:p>
    <w:p w14:paraId="33B587A1" w14:textId="77777777" w:rsidR="00703C00" w:rsidRPr="00703C00" w:rsidRDefault="00703C00" w:rsidP="00703C00">
      <w:pPr>
        <w:adjustRightInd w:val="0"/>
        <w:snapToGrid w:val="0"/>
        <w:spacing w:line="360" w:lineRule="auto"/>
        <w:rPr>
          <w:rFonts w:ascii="黑体" w:eastAsia="黑体" w:hAnsi="黑体" w:cs="Times New Roman"/>
          <w:b/>
          <w:bCs/>
          <w:sz w:val="28"/>
          <w:szCs w:val="28"/>
          <w14:ligatures w14:val="none"/>
        </w:rPr>
      </w:pPr>
      <w:r w:rsidRPr="00703C00">
        <w:rPr>
          <w:rFonts w:ascii="黑体" w:eastAsia="黑体" w:hAnsi="黑体" w:cs="Times New Roman"/>
          <w:b/>
          <w:bCs/>
          <w:sz w:val="28"/>
          <w:szCs w:val="28"/>
          <w14:ligatures w14:val="none"/>
        </w:rPr>
        <w:t>三、灾后科学救灾措施</w:t>
      </w:r>
    </w:p>
    <w:p w14:paraId="5620EF5F" w14:textId="77777777" w:rsidR="00703C00" w:rsidRPr="00703C00" w:rsidRDefault="00703C00" w:rsidP="00703C00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（一）</w:t>
      </w: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汛后消杀与物料分级</w:t>
      </w:r>
    </w:p>
    <w:p w14:paraId="488BFF14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台风引发的洪涝退水速度慢，积水滞留时间长，洪水裹挟田间病原菌、地表污染物，灾后气温快速回升，极易诱发霉菌等大范围侵染，需分场地、原辅材料、菌棒逐项处置。</w:t>
      </w:r>
    </w:p>
    <w:p w14:paraId="3DC58DDD" w14:textId="4F06E8B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  <w14:ligatures w14:val="none"/>
        </w:rPr>
        <w:t>一是</w:t>
      </w: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开展菇棚全域环境消杀。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洪水退去后，第一时间清理棚内淤泥、漂浮杂物、烂菇及腐烂废弃菌棒，全部清运至距离厂区至少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500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米以外区域集中处理。清理完毕后，在菇棚四周、地面、栽培床架均匀撒施生石灰；有条件的，泥土地块充分晾晒后开展二次消杀，配合高温晴好天气闷棚，通风干燥后，方可恢复生产。灾后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2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个月内，持续监测棚内杂菌变化，加大昼夜通风频次，严控棚内湿度，避免霉菌大爆发。</w:t>
      </w:r>
    </w:p>
    <w:p w14:paraId="5EE02AD4" w14:textId="3CBE973A" w:rsidR="00703C00" w:rsidRP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  <w14:ligatures w14:val="none"/>
        </w:rPr>
        <w:t>二是</w:t>
      </w: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受淹原辅材料分类处置。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轻度泡水原料选择晴天摊开暴晒，晾晒完成后添加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3%—5%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生石灰拌料堆置高温发酵，晒干后投入生产。长时间浸泡、基质酸化严重的原料，视情况谨慎使用，必要时直接弃用。</w:t>
      </w:r>
    </w:p>
    <w:p w14:paraId="58D7F529" w14:textId="7A034FAB" w:rsidR="00703C00" w:rsidRP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>
        <w:rPr>
          <w:rFonts w:ascii="Times New Roman" w:eastAsia="仿宋_GB2312" w:hAnsi="Times New Roman" w:cs="Times New Roman" w:hint="eastAsia"/>
          <w:b/>
          <w:bCs/>
          <w:sz w:val="28"/>
          <w:szCs w:val="28"/>
          <w14:ligatures w14:val="none"/>
        </w:rPr>
        <w:t>三是</w:t>
      </w: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受灾菌棒分级管控。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菌丝大面积侵染、表层布满霉斑的重度污染菌袋，按规范无害化处理。养菌阶段轻度泡水菌棒，冲洗表面淤泥，通过刺孔排出袋内积水，喷施石灰水抑菌，分层通风摆放，每日巡查，剔除出现污染的菌棒。</w:t>
      </w:r>
    </w:p>
    <w:p w14:paraId="6FE5002E" w14:textId="77777777" w:rsidR="00703C00" w:rsidRPr="00703C00" w:rsidRDefault="00703C00" w:rsidP="00703C00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（二）灾后生产恢复</w:t>
      </w:r>
    </w:p>
    <w:p w14:paraId="3F44E031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对于食用菌工厂或者集中制棒厂，坚持分类复产、分区管控、硬件提质，杜绝病害二次扩散，快速恢复生产。</w:t>
      </w:r>
    </w:p>
    <w:p w14:paraId="50599ED4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一是设备检修与硬件优化。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对受潮浸水设备除湿检修、达标复位，同步复盘汛期硬件短板，优化厂区排水、分区生产、应急保障体系，常态化开展预防性消杀，防止灾后病害高发，快速恢复生产。</w:t>
      </w:r>
    </w:p>
    <w:p w14:paraId="192EFB7E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二是洁净车间专项复位。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重点对工厂化接种室、培养室、冷却室、实验室开展深度整改，更换新风滤网、水处理滤芯，设备除湿检修、绝缘检测、空载试运行，全面恢复车间洁净度、温湿度自控精度。</w:t>
      </w:r>
    </w:p>
    <w:p w14:paraId="3A72C766" w14:textId="77777777" w:rsidR="00703C00" w:rsidRDefault="00703C00" w:rsidP="00703C00">
      <w:pPr>
        <w:adjustRightInd w:val="0"/>
        <w:snapToGrid w:val="0"/>
        <w:spacing w:line="360" w:lineRule="auto"/>
        <w:ind w:firstLineChars="200" w:firstLine="562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仿宋_GB2312" w:hAnsi="Times New Roman" w:cs="Times New Roman"/>
          <w:b/>
          <w:bCs/>
          <w:sz w:val="28"/>
          <w:szCs w:val="28"/>
          <w14:ligatures w14:val="none"/>
        </w:rPr>
        <w:t>三是厂区硬件提质改造。</w:t>
      </w:r>
      <w:r w:rsidRPr="00703C00">
        <w:rPr>
          <w:rFonts w:ascii="Times New Roman" w:eastAsia="仿宋_GB2312" w:hAnsi="Times New Roman" w:cs="Times New Roman"/>
          <w:sz w:val="28"/>
          <w:szCs w:val="28"/>
          <w14:ligatures w14:val="none"/>
        </w:rPr>
        <w:t>针对汛期暴露的排水短板，拓宽加深菇棚及车间外围排水沟，低洼区域抬高硬化、增设抽排设备；优化厂区功能分区，受灾区域作为物料消杀处置区，高地洁净车间作为制种、养菌、出菇核心区，物理阻断交叉感染。</w:t>
      </w:r>
    </w:p>
    <w:p w14:paraId="61159CC2" w14:textId="77777777" w:rsidR="00703C00" w:rsidRDefault="00703C00" w:rsidP="00703C00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/>
          <w:sz w:val="28"/>
          <w:szCs w:val="28"/>
          <w14:ligatures w14:val="none"/>
        </w:rPr>
      </w:pPr>
    </w:p>
    <w:p w14:paraId="490878DA" w14:textId="0EB34A80" w:rsidR="00703C00" w:rsidRPr="00703C00" w:rsidRDefault="00703C00" w:rsidP="00703C00">
      <w:pPr>
        <w:adjustRightInd w:val="0"/>
        <w:snapToGrid w:val="0"/>
        <w:spacing w:line="360" w:lineRule="auto"/>
        <w:ind w:firstLineChars="200" w:firstLine="560"/>
        <w:rPr>
          <w:rFonts w:ascii="Times New Roman" w:eastAsia="黑体" w:hAnsi="Times New Roman" w:cs="Times New Roman"/>
          <w:sz w:val="28"/>
          <w:szCs w:val="28"/>
          <w14:ligatures w14:val="none"/>
        </w:rPr>
      </w:pPr>
      <w:r w:rsidRPr="00703C00">
        <w:rPr>
          <w:rFonts w:ascii="Times New Roman" w:eastAsia="黑体" w:hAnsi="Times New Roman" w:cs="Times New Roman"/>
          <w:sz w:val="28"/>
          <w:szCs w:val="28"/>
          <w14:ligatures w14:val="none"/>
        </w:rPr>
        <w:t>联系方式：</w:t>
      </w:r>
      <w:r w:rsidRPr="00703C00">
        <w:rPr>
          <w:rFonts w:ascii="Times New Roman" w:eastAsia="黑体" w:hAnsi="Times New Roman" w:cs="Times New Roman"/>
          <w:sz w:val="28"/>
          <w:szCs w:val="28"/>
          <w14:ligatures w14:val="none"/>
        </w:rPr>
        <w:t>广西农业科学院食用菌研究所</w:t>
      </w:r>
      <w:r w:rsidRPr="00703C00">
        <w:rPr>
          <w:rFonts w:ascii="Times New Roman" w:eastAsia="黑体" w:hAnsi="Times New Roman" w:cs="Times New Roman"/>
          <w:sz w:val="28"/>
          <w:szCs w:val="28"/>
          <w14:ligatures w14:val="none"/>
        </w:rPr>
        <w:t>技术服务联系电话</w:t>
      </w:r>
      <w:r w:rsidRPr="00703C00">
        <w:rPr>
          <w:rFonts w:ascii="Times New Roman" w:eastAsia="黑体" w:hAnsi="Times New Roman" w:cs="Times New Roman"/>
          <w:sz w:val="28"/>
          <w:szCs w:val="28"/>
          <w14:ligatures w14:val="none"/>
        </w:rPr>
        <w:t>18169645606</w:t>
      </w:r>
      <w:r w:rsidRPr="00703C00">
        <w:rPr>
          <w:rFonts w:ascii="Times New Roman" w:eastAsia="黑体" w:hAnsi="Times New Roman" w:cs="Times New Roman"/>
          <w:sz w:val="28"/>
          <w:szCs w:val="28"/>
          <w14:ligatures w14:val="none"/>
        </w:rPr>
        <w:t>（微信同号）。</w:t>
      </w:r>
    </w:p>
    <w:p w14:paraId="7322D84F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  <w14:ligatures w14:val="none"/>
        </w:rPr>
      </w:pPr>
    </w:p>
    <w:p w14:paraId="3E58BB61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  <w14:ligatures w14:val="none"/>
        </w:rPr>
      </w:pPr>
    </w:p>
    <w:p w14:paraId="4BE3679D" w14:textId="77777777" w:rsidR="00703C00" w:rsidRPr="00703C00" w:rsidRDefault="00703C00" w:rsidP="00703C00">
      <w:pPr>
        <w:adjustRightInd w:val="0"/>
        <w:snapToGrid w:val="0"/>
        <w:spacing w:line="360" w:lineRule="auto"/>
        <w:ind w:firstLineChars="200" w:firstLine="560"/>
        <w:rPr>
          <w:rFonts w:ascii="Times New Roman" w:eastAsia="仿宋_GB2312" w:hAnsi="Times New Roman" w:cs="Times New Roman" w:hint="eastAsia"/>
          <w:sz w:val="28"/>
          <w:szCs w:val="28"/>
        </w:rPr>
      </w:pPr>
    </w:p>
    <w:p w14:paraId="0C2B55B1" w14:textId="77777777" w:rsidR="00703C00" w:rsidRPr="00703C00" w:rsidRDefault="00703C00" w:rsidP="00703C00">
      <w:pPr>
        <w:tabs>
          <w:tab w:val="left" w:pos="2105"/>
        </w:tabs>
        <w:jc w:val="center"/>
        <w:rPr>
          <w:rFonts w:ascii="仿宋_GB2312" w:eastAsia="仿宋_GB2312" w:hAnsi="黑体" w:hint="eastAsia"/>
          <w:color w:val="000000" w:themeColor="text1"/>
          <w:sz w:val="28"/>
          <w:szCs w:val="28"/>
        </w:rPr>
      </w:pPr>
    </w:p>
    <w:p w14:paraId="038DC01E" w14:textId="77777777" w:rsidR="00703C00" w:rsidRPr="00703C00" w:rsidRDefault="00703C00" w:rsidP="00622BE2">
      <w:pPr>
        <w:tabs>
          <w:tab w:val="left" w:pos="2105"/>
        </w:tabs>
        <w:jc w:val="center"/>
        <w:rPr>
          <w:rFonts w:ascii="黑体" w:eastAsia="黑体" w:hAnsi="黑体" w:hint="eastAsia"/>
          <w:color w:val="0070C0"/>
          <w:sz w:val="32"/>
          <w:szCs w:val="32"/>
        </w:rPr>
      </w:pPr>
    </w:p>
    <w:sectPr w:rsidR="00703C00" w:rsidRPr="00703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D014" w14:textId="77777777" w:rsidR="00563372" w:rsidRDefault="00563372" w:rsidP="005B38A0">
      <w:pPr>
        <w:rPr>
          <w:rFonts w:hint="eastAsia"/>
        </w:rPr>
      </w:pPr>
      <w:r>
        <w:separator/>
      </w:r>
    </w:p>
  </w:endnote>
  <w:endnote w:type="continuationSeparator" w:id="0">
    <w:p w14:paraId="7796AF99" w14:textId="77777777" w:rsidR="00563372" w:rsidRDefault="00563372" w:rsidP="005B38A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E198E" w14:textId="77777777" w:rsidR="00563372" w:rsidRDefault="00563372" w:rsidP="005B38A0">
      <w:pPr>
        <w:rPr>
          <w:rFonts w:hint="eastAsia"/>
        </w:rPr>
      </w:pPr>
      <w:r>
        <w:separator/>
      </w:r>
    </w:p>
  </w:footnote>
  <w:footnote w:type="continuationSeparator" w:id="0">
    <w:p w14:paraId="443C0799" w14:textId="77777777" w:rsidR="00563372" w:rsidRDefault="00563372" w:rsidP="005B38A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DD"/>
    <w:rsid w:val="000849B3"/>
    <w:rsid w:val="000C1300"/>
    <w:rsid w:val="00197205"/>
    <w:rsid w:val="00217AF0"/>
    <w:rsid w:val="00563372"/>
    <w:rsid w:val="005A5C6E"/>
    <w:rsid w:val="005B38A0"/>
    <w:rsid w:val="005C1E1C"/>
    <w:rsid w:val="00622BE2"/>
    <w:rsid w:val="0065278A"/>
    <w:rsid w:val="00652CC8"/>
    <w:rsid w:val="00703C00"/>
    <w:rsid w:val="008001E6"/>
    <w:rsid w:val="00A23A34"/>
    <w:rsid w:val="00A56A1D"/>
    <w:rsid w:val="00AA6559"/>
    <w:rsid w:val="00BF7440"/>
    <w:rsid w:val="00C82DE7"/>
    <w:rsid w:val="00CF1D34"/>
    <w:rsid w:val="00D12060"/>
    <w:rsid w:val="00D77FED"/>
    <w:rsid w:val="00DF0BDD"/>
    <w:rsid w:val="00F17F80"/>
    <w:rsid w:val="00F2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B3282D"/>
  <w15:chartTrackingRefBased/>
  <w15:docId w15:val="{5B300A2D-1A1C-4774-88F8-C893EEF89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0BD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0BD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0BD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0BD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0BD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0BD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0BD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0BD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BD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0B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0B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0BD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0BD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F0BD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0B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0B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0B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0B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F0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0BD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F0B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0B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F0B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0B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0B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0B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F0B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0BD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B38A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B38A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B38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B38A0"/>
    <w:rPr>
      <w:sz w:val="18"/>
      <w:szCs w:val="18"/>
    </w:rPr>
  </w:style>
  <w:style w:type="paragraph" w:styleId="af2">
    <w:name w:val="Date"/>
    <w:basedOn w:val="a"/>
    <w:next w:val="a"/>
    <w:link w:val="af3"/>
    <w:uiPriority w:val="99"/>
    <w:semiHidden/>
    <w:unhideWhenUsed/>
    <w:rsid w:val="00703C00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703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814</Words>
  <Characters>815</Characters>
  <Application>Microsoft Office Word</Application>
  <DocSecurity>0</DocSecurity>
  <Lines>33</Lines>
  <Paragraphs>20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永强 胡</dc:creator>
  <cp:keywords/>
  <dc:description/>
  <cp:lastModifiedBy>永强 胡</cp:lastModifiedBy>
  <cp:revision>2</cp:revision>
  <dcterms:created xsi:type="dcterms:W3CDTF">2026-07-15T08:46:00Z</dcterms:created>
  <dcterms:modified xsi:type="dcterms:W3CDTF">2026-07-15T08:46:00Z</dcterms:modified>
</cp:coreProperties>
</file>